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6B" w:rsidRDefault="005F4DEB">
      <w:r w:rsidRPr="005F4DEB">
        <w:drawing>
          <wp:inline distT="0" distB="0" distL="0" distR="0" wp14:anchorId="1889CE50" wp14:editId="16E2046D">
            <wp:extent cx="5760720" cy="4333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EB" w:rsidRDefault="005F4DEB">
      <w:r>
        <w:t>V pravo sedí na trůně Rudolf II., uněho stojí panoš, po pravici sedí jeho milenka Kateřina – dcera dvorního antikváře. Všichni se s radostí dívají na umělkyni Terezu, která zrovna kreslí významný portrét. Králi se klaní vzácní umělci a vědci, jeden též z Francie.</w:t>
      </w:r>
      <w:bookmarkStart w:id="0" w:name="_GoBack"/>
      <w:bookmarkEnd w:id="0"/>
    </w:p>
    <w:sectPr w:rsidR="005F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EB"/>
    <w:rsid w:val="00157E6B"/>
    <w:rsid w:val="005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7CD8"/>
  <w15:chartTrackingRefBased/>
  <w15:docId w15:val="{3C3B9D2F-2E1B-4D3B-9310-926C272A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2023-05-11T13:31:00Z</dcterms:created>
  <dcterms:modified xsi:type="dcterms:W3CDTF">2023-05-11T13:33:00Z</dcterms:modified>
</cp:coreProperties>
</file>